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right"/>
        <w:rPr>
          <w:rFonts w:hint="default" w:asciiTheme="minorEastAsia" w:hAnsiTheme="minorEastAsia"/>
          <w:sz w:val="24"/>
        </w:rPr>
      </w:pPr>
      <w:bookmarkStart w:id="0" w:name="_GoBack"/>
      <w:bookmarkEnd w:id="0"/>
      <w:r>
        <w:rPr>
          <w:rFonts w:hint="eastAsia" w:asciiTheme="minorEastAsia" w:hAnsiTheme="minorEastAsia"/>
          <w:sz w:val="24"/>
        </w:rPr>
        <w:t>令和元年（２０１９年）９月６日</w:t>
      </w:r>
    </w:p>
    <w:p>
      <w:pPr>
        <w:pStyle w:val="0"/>
        <w:spacing w:line="360" w:lineRule="exact"/>
        <w:jc w:val="right"/>
        <w:rPr>
          <w:rFonts w:hint="default" w:asciiTheme="minorEastAsia" w:hAnsiTheme="minorEastAsia"/>
          <w:sz w:val="24"/>
        </w:rPr>
      </w:pPr>
      <w:r>
        <w:rPr>
          <w:rFonts w:hint="eastAsia" w:asciiTheme="minorEastAsia" w:hAnsiTheme="minorEastAsia"/>
          <w:spacing w:val="48"/>
          <w:kern w:val="0"/>
          <w:sz w:val="24"/>
          <w:fitText w:val="3600" w:id="1"/>
        </w:rPr>
        <w:t>子ども・子育て会議資</w:t>
      </w:r>
      <w:r>
        <w:rPr>
          <w:rFonts w:hint="eastAsia" w:asciiTheme="minorEastAsia" w:hAnsiTheme="minorEastAsia"/>
          <w:kern w:val="0"/>
          <w:sz w:val="24"/>
          <w:fitText w:val="3600" w:id="1"/>
        </w:rPr>
        <w:t>料</w:t>
      </w:r>
    </w:p>
    <w:p>
      <w:pPr>
        <w:pStyle w:val="0"/>
        <w:spacing w:line="360" w:lineRule="exact"/>
        <w:jc w:val="right"/>
        <w:rPr>
          <w:rFonts w:hint="default" w:asciiTheme="minorEastAsia" w:hAnsiTheme="minorEastAsia"/>
          <w:sz w:val="24"/>
        </w:rPr>
      </w:pPr>
      <w:r>
        <w:rPr>
          <w:rFonts w:hint="eastAsia" w:asciiTheme="minorEastAsia" w:hAnsiTheme="minorEastAsia"/>
          <w:spacing w:val="9"/>
          <w:kern w:val="0"/>
          <w:sz w:val="24"/>
          <w:fitText w:val="3600" w:id="2"/>
        </w:rPr>
        <w:t>子ども教育部保育園・幼稚園</w:t>
      </w:r>
      <w:r>
        <w:rPr>
          <w:rFonts w:hint="eastAsia" w:asciiTheme="minorEastAsia" w:hAnsiTheme="minorEastAsia"/>
          <w:spacing w:val="3"/>
          <w:kern w:val="0"/>
          <w:sz w:val="24"/>
          <w:fitText w:val="3600" w:id="2"/>
        </w:rPr>
        <w:t>課</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jc w:val="center"/>
        <w:rPr>
          <w:rFonts w:hint="default" w:asciiTheme="minorEastAsia" w:hAnsiTheme="minorEastAsia"/>
          <w:sz w:val="24"/>
        </w:rPr>
      </w:pPr>
      <w:r>
        <w:rPr>
          <w:rFonts w:hint="eastAsia" w:asciiTheme="minorEastAsia" w:hAnsiTheme="minorEastAsia"/>
          <w:sz w:val="24"/>
        </w:rPr>
        <w:t>中野区保育の質ガイドライン（案）について</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中野区保育の質ガイドライン（案）（以下、「本ガイドライン」という）は、基本的な考え方や確保されるべき保育の質について、中野区子ども・子育て会議を通じて検討部会の検討結果報告を受け、下記のとおりまとめたものである。</w:t>
      </w:r>
    </w:p>
    <w:p>
      <w:pPr>
        <w:pStyle w:val="0"/>
        <w:spacing w:line="360" w:lineRule="exact"/>
        <w:rPr>
          <w:rFonts w:hint="default" w:asciiTheme="minorEastAsia" w:hAnsiTheme="minorEastAsia"/>
          <w:sz w:val="24"/>
        </w:rPr>
      </w:pPr>
    </w:p>
    <w:p>
      <w:pPr>
        <w:pStyle w:val="0"/>
        <w:spacing w:line="360" w:lineRule="exact"/>
        <w:jc w:val="center"/>
        <w:rPr>
          <w:rFonts w:hint="default" w:asciiTheme="minorEastAsia" w:hAnsiTheme="minorEastAsia"/>
          <w:sz w:val="24"/>
        </w:rPr>
      </w:pPr>
      <w:r>
        <w:rPr>
          <w:rFonts w:hint="eastAsia" w:asciiTheme="minorEastAsia" w:hAnsiTheme="minorEastAsia"/>
          <w:sz w:val="24"/>
        </w:rPr>
        <w:t>記</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１　本ガイドライン策定の背景と基本的な考え方</w:t>
      </w:r>
    </w:p>
    <w:p>
      <w:pPr>
        <w:pStyle w:val="0"/>
        <w:spacing w:line="360" w:lineRule="exact"/>
        <w:ind w:firstLine="240" w:firstLineChars="100"/>
        <w:rPr>
          <w:rFonts w:hint="eastAsia" w:asciiTheme="minorEastAsia" w:hAnsiTheme="minorEastAsia"/>
          <w:sz w:val="24"/>
        </w:rPr>
      </w:pPr>
      <w:r>
        <w:rPr>
          <w:rFonts w:hint="eastAsia" w:asciiTheme="minorEastAsia" w:hAnsiTheme="minorEastAsia"/>
          <w:sz w:val="24"/>
        </w:rPr>
        <w:t>平成３０年度に保育所保育指針、幼稚園教育要領等が全面改定され、令和２年度には新しい学習指導要領が全面実施される予定である。就学前教育・保育施設においては、保育所保育指針等に基づき、これまでも区内の区立、私立の就学前教育・保育施設が連携を図りながら一定の保育の質を確保してきたところである。</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今後も区内の就学前教育・保育施設が保育の基本的な考え方を共有し、より一層の保育の質の確保・向上を図ることを目的として、本ガイドラインを策定する。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２　本ガイドラインの位置付け</w:t>
      </w:r>
    </w:p>
    <w:p>
      <w:pPr>
        <w:pStyle w:val="0"/>
        <w:spacing w:line="360" w:lineRule="exact"/>
        <w:rPr>
          <w:rFonts w:hint="default" w:asciiTheme="minorEastAsia" w:hAnsiTheme="minorEastAsia"/>
          <w:sz w:val="24"/>
        </w:rPr>
      </w:pPr>
      <w:r>
        <w:rPr>
          <w:rFonts w:hint="eastAsia" w:asciiTheme="minorEastAsia" w:hAnsiTheme="minorEastAsia"/>
          <w:sz w:val="24"/>
        </w:rPr>
        <w:t>　本ガイドラインは、中野区子ども・子育て支援事業計画の基本理念を実現する一つの手立てとして、中野区就学前教育プログラムと同様に、子どもたちの最善の利益を守り、一人ひとりの子どもの発達に適切な援助を行う各就学前教育・保育施設の基本的な指針となるものであ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３　本ガイドラインの概要</w:t>
      </w:r>
    </w:p>
    <w:p>
      <w:pPr>
        <w:pStyle w:val="0"/>
        <w:spacing w:line="360" w:lineRule="exact"/>
        <w:rPr>
          <w:rFonts w:hint="default" w:asciiTheme="minorEastAsia" w:hAnsiTheme="minorEastAsia"/>
          <w:sz w:val="24"/>
        </w:rPr>
      </w:pPr>
      <w:r>
        <w:rPr>
          <w:rFonts w:hint="eastAsia" w:asciiTheme="minorEastAsia" w:hAnsiTheme="minorEastAsia"/>
          <w:sz w:val="24"/>
        </w:rPr>
        <w:t>　「１</w:t>
      </w:r>
      <w:r>
        <w:rPr>
          <w:rFonts w:hint="eastAsia" w:asciiTheme="minorEastAsia" w:hAnsiTheme="minorEastAsia"/>
          <w:sz w:val="24"/>
        </w:rPr>
        <w:t xml:space="preserve"> </w:t>
      </w:r>
      <w:r>
        <w:rPr>
          <w:rFonts w:hint="eastAsia" w:asciiTheme="minorEastAsia" w:hAnsiTheme="minorEastAsia"/>
          <w:sz w:val="24"/>
        </w:rPr>
        <w:t>中野区の保育」</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出生から就学期までの発達段階に応じた子どもの心情、意欲、態度を注視し、保育者等が子どもに寄り添うことが特に重要であるとしている。そのうえで、一般論に偏らないよう、散歩、食育、プール・水遊び等、具体的な場面を想定した保育について説明している。また、児童憲章、子ども・子育て支援法や各種資料を引用することで、国制度との関係性が理解できるようにしてい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　「２</w:t>
      </w:r>
      <w:r>
        <w:rPr>
          <w:rFonts w:hint="eastAsia" w:asciiTheme="minorEastAsia" w:hAnsiTheme="minorEastAsia"/>
          <w:sz w:val="24"/>
        </w:rPr>
        <w:t xml:space="preserve"> </w:t>
      </w:r>
      <w:r>
        <w:rPr>
          <w:rFonts w:hint="eastAsia" w:asciiTheme="minorEastAsia" w:hAnsiTheme="minorEastAsia"/>
          <w:sz w:val="24"/>
        </w:rPr>
        <w:t>保育者等の資質向上の取組」</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保育者等には責任感、倫理観、専門知識が求められるため、研修や合同研究等、区の取組について紹介している。</w:t>
      </w:r>
    </w:p>
    <w:p>
      <w:pPr>
        <w:pStyle w:val="0"/>
        <w:spacing w:line="360" w:lineRule="exact"/>
        <w:rPr>
          <w:rFonts w:hint="default" w:asciiTheme="minorEastAsia" w:hAnsiTheme="minorEastAsia"/>
          <w:sz w:val="24"/>
        </w:rPr>
      </w:pPr>
      <w:r>
        <w:rPr>
          <w:rFonts w:hint="eastAsia" w:asciiTheme="minorEastAsia" w:hAnsiTheme="minorEastAsia"/>
          <w:sz w:val="24"/>
        </w:rPr>
        <w:t>　「３</w:t>
      </w:r>
      <w:r>
        <w:rPr>
          <w:rFonts w:hint="eastAsia" w:asciiTheme="minorEastAsia" w:hAnsiTheme="minorEastAsia"/>
          <w:sz w:val="24"/>
        </w:rPr>
        <w:t xml:space="preserve"> </w:t>
      </w:r>
      <w:r>
        <w:rPr>
          <w:rFonts w:hint="eastAsia" w:asciiTheme="minorEastAsia" w:hAnsiTheme="minorEastAsia"/>
          <w:sz w:val="24"/>
        </w:rPr>
        <w:t>施設の運営体制」</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保育者等が持てる資質・能力を発揮するには、運営事業者による人材確保と人材育成、事業経営が健全に行われることが不可欠であるとしている。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　「４</w:t>
      </w:r>
      <w:r>
        <w:rPr>
          <w:rFonts w:hint="eastAsia" w:asciiTheme="minorEastAsia" w:hAnsiTheme="minorEastAsia"/>
          <w:sz w:val="24"/>
        </w:rPr>
        <w:t xml:space="preserve"> </w:t>
      </w:r>
      <w:r>
        <w:rPr>
          <w:rFonts w:hint="eastAsia" w:asciiTheme="minorEastAsia" w:hAnsiTheme="minorEastAsia"/>
          <w:sz w:val="24"/>
        </w:rPr>
        <w:t>保育の質の向上のため、それぞれに求められること」</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事業者、保育者、保護者、地域、区が一体となって取り組むことが重要であるとし、それぞれの立場で取り組むべきことを示している。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４　利用者向けに工夫した点</w:t>
      </w:r>
    </w:p>
    <w:p>
      <w:pPr>
        <w:pStyle w:val="0"/>
        <w:spacing w:line="360" w:lineRule="exact"/>
        <w:rPr>
          <w:rFonts w:hint="default" w:asciiTheme="minorEastAsia" w:hAnsiTheme="minorEastAsia"/>
          <w:sz w:val="24"/>
        </w:rPr>
      </w:pPr>
      <w:r>
        <w:rPr>
          <w:rFonts w:hint="eastAsia" w:asciiTheme="minorEastAsia" w:hAnsiTheme="minorEastAsia"/>
          <w:sz w:val="24"/>
        </w:rPr>
        <w:t>　保育者向けに工夫した点としては、子どもの目線に立って保育を行うため、参考となる「目指す子ども像」を項目ごとに設定している。また、どのような保育を行っていくのかを明確にするため、「保育者等の取組」を項目ごとに設定している。さらに、保育者等が自らの保育の確認、振り返りがすぐにできるようチェックリストを盛り込んでいる。</w:t>
      </w:r>
    </w:p>
    <w:p>
      <w:pPr>
        <w:pStyle w:val="0"/>
        <w:widowControl w:val="1"/>
        <w:spacing w:line="360" w:lineRule="exact"/>
        <w:ind w:firstLine="240" w:firstLineChars="100"/>
        <w:jc w:val="left"/>
        <w:rPr>
          <w:rFonts w:hint="default" w:asciiTheme="minorEastAsia" w:hAnsiTheme="minorEastAsia"/>
          <w:sz w:val="24"/>
        </w:rPr>
      </w:pPr>
      <w:r>
        <w:rPr>
          <w:rFonts w:hint="eastAsia" w:asciiTheme="minorEastAsia" w:hAnsiTheme="minorEastAsia"/>
          <w:sz w:val="24"/>
        </w:rPr>
        <w:t>区民や保護者向けに工夫した点としては、親しみやすさを感じ、手にとって読みたくなるよう、イラスト、写真、図表等を多用している。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５　検討部会の開催状況</w:t>
      </w:r>
    </w:p>
    <w:tbl>
      <w:tblPr>
        <w:tblStyle w:val="11"/>
        <w:tblW w:w="7214" w:type="dxa"/>
        <w:tblInd w:w="241" w:type="dxa"/>
        <w:tblLayout w:type="fixed"/>
        <w:tblCellMar>
          <w:left w:w="99" w:type="dxa"/>
          <w:right w:w="99" w:type="dxa"/>
        </w:tblCellMar>
        <w:tblLook w:firstRow="1" w:lastRow="0" w:firstColumn="1" w:lastColumn="0" w:noHBand="0" w:noVBand="1" w:val="04A0"/>
      </w:tblPr>
      <w:tblGrid>
        <w:gridCol w:w="1839"/>
        <w:gridCol w:w="5375"/>
      </w:tblGrid>
      <w:tr>
        <w:trPr>
          <w:trHeight w:val="279" w:hRule="atLeast"/>
        </w:trPr>
        <w:tc>
          <w:tcPr>
            <w:tcW w:w="1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第１回</w:t>
            </w:r>
          </w:p>
        </w:tc>
        <w:tc>
          <w:tcPr>
            <w:tcW w:w="53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平成３０年１２月２１日</w:t>
            </w:r>
          </w:p>
        </w:tc>
      </w:tr>
      <w:tr>
        <w:trPr>
          <w:trHeight w:val="279" w:hRule="atLeast"/>
        </w:trPr>
        <w:tc>
          <w:tcPr>
            <w:tcW w:w="1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第２回</w:t>
            </w:r>
          </w:p>
        </w:tc>
        <w:tc>
          <w:tcPr>
            <w:tcW w:w="53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平成３１年　３月　６日</w:t>
            </w:r>
          </w:p>
        </w:tc>
      </w:tr>
      <w:tr>
        <w:trPr>
          <w:trHeight w:val="279" w:hRule="atLeast"/>
        </w:trPr>
        <w:tc>
          <w:tcPr>
            <w:tcW w:w="18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第３回</w:t>
            </w:r>
          </w:p>
        </w:tc>
        <w:tc>
          <w:tcPr>
            <w:tcW w:w="53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00" w:firstLineChars="100"/>
              <w:jc w:val="left"/>
              <w:rPr>
                <w:rFonts w:hint="default" w:asciiTheme="minorEastAsia" w:hAnsiTheme="minorEastAsia"/>
                <w:color w:val="000000"/>
                <w:kern w:val="0"/>
                <w:sz w:val="24"/>
              </w:rPr>
            </w:pPr>
            <w:r>
              <w:rPr>
                <w:rFonts w:hint="eastAsia" w:asciiTheme="minorEastAsia" w:hAnsiTheme="minorEastAsia"/>
                <w:spacing w:val="40"/>
                <w:kern w:val="0"/>
                <w:sz w:val="24"/>
                <w:fitText w:val="1200" w:id="3"/>
              </w:rPr>
              <w:t>令和元</w:t>
            </w:r>
            <w:r>
              <w:rPr>
                <w:rFonts w:hint="eastAsia" w:asciiTheme="minorEastAsia" w:hAnsiTheme="minorEastAsia"/>
                <w:spacing w:val="30"/>
                <w:kern w:val="0"/>
                <w:sz w:val="24"/>
                <w:fitText w:val="1200" w:id="3"/>
              </w:rPr>
              <w:t>年</w:t>
            </w:r>
            <w:r>
              <w:rPr>
                <w:rFonts w:hint="eastAsia" w:asciiTheme="minorEastAsia" w:hAnsiTheme="minorEastAsia"/>
                <w:sz w:val="24"/>
              </w:rPr>
              <w:t>　５月１５日</w:t>
            </w:r>
          </w:p>
        </w:tc>
      </w:tr>
      <w:tr>
        <w:trPr>
          <w:trHeight w:val="279" w:hRule="atLeast"/>
        </w:trPr>
        <w:tc>
          <w:tcPr>
            <w:tcW w:w="1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第４回</w:t>
            </w:r>
          </w:p>
        </w:tc>
        <w:tc>
          <w:tcPr>
            <w:tcW w:w="53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00" w:firstLineChars="100"/>
              <w:jc w:val="left"/>
              <w:rPr>
                <w:rFonts w:hint="default" w:asciiTheme="minorEastAsia" w:hAnsiTheme="minorEastAsia"/>
                <w:color w:val="000000"/>
                <w:kern w:val="0"/>
                <w:sz w:val="24"/>
              </w:rPr>
            </w:pPr>
            <w:r>
              <w:rPr>
                <w:rFonts w:hint="eastAsia" w:asciiTheme="minorEastAsia" w:hAnsiTheme="minorEastAsia"/>
                <w:spacing w:val="40"/>
                <w:kern w:val="0"/>
                <w:sz w:val="24"/>
                <w:fitText w:val="1200" w:id="4"/>
              </w:rPr>
              <w:t>令和元</w:t>
            </w:r>
            <w:r>
              <w:rPr>
                <w:rFonts w:hint="eastAsia" w:asciiTheme="minorEastAsia" w:hAnsiTheme="minorEastAsia"/>
                <w:spacing w:val="30"/>
                <w:kern w:val="0"/>
                <w:sz w:val="24"/>
                <w:fitText w:val="1200" w:id="4"/>
              </w:rPr>
              <w:t>年</w:t>
            </w:r>
            <w:r>
              <w:rPr>
                <w:rFonts w:hint="eastAsia" w:asciiTheme="minorEastAsia" w:hAnsiTheme="minorEastAsia"/>
                <w:sz w:val="24"/>
              </w:rPr>
              <w:t>　７月　５日</w:t>
            </w:r>
          </w:p>
        </w:tc>
      </w:tr>
      <w:tr>
        <w:trPr>
          <w:trHeight w:val="279" w:hRule="atLeast"/>
        </w:trPr>
        <w:tc>
          <w:tcPr>
            <w:tcW w:w="1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sz w:val="24"/>
              </w:rPr>
              <w:t>第５回</w:t>
            </w:r>
          </w:p>
        </w:tc>
        <w:tc>
          <w:tcPr>
            <w:tcW w:w="53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00" w:firstLineChars="100"/>
              <w:jc w:val="left"/>
              <w:rPr>
                <w:rFonts w:hint="default" w:asciiTheme="minorEastAsia" w:hAnsiTheme="minorEastAsia"/>
                <w:color w:val="000000"/>
                <w:kern w:val="0"/>
                <w:sz w:val="24"/>
              </w:rPr>
            </w:pPr>
            <w:r>
              <w:rPr>
                <w:rFonts w:hint="eastAsia" w:asciiTheme="minorEastAsia" w:hAnsiTheme="minorEastAsia"/>
                <w:spacing w:val="40"/>
                <w:kern w:val="0"/>
                <w:sz w:val="24"/>
                <w:fitText w:val="1200" w:id="5"/>
              </w:rPr>
              <w:t>令和元</w:t>
            </w:r>
            <w:r>
              <w:rPr>
                <w:rFonts w:hint="eastAsia" w:asciiTheme="minorEastAsia" w:hAnsiTheme="minorEastAsia"/>
                <w:spacing w:val="30"/>
                <w:kern w:val="0"/>
                <w:sz w:val="24"/>
                <w:fitText w:val="1200" w:id="5"/>
              </w:rPr>
              <w:t>年</w:t>
            </w:r>
            <w:r>
              <w:rPr>
                <w:rFonts w:hint="eastAsia" w:asciiTheme="minorEastAsia" w:hAnsiTheme="minorEastAsia"/>
                <w:sz w:val="24"/>
              </w:rPr>
              <w:t>　８月２８日</w:t>
            </w:r>
          </w:p>
        </w:tc>
      </w:tr>
    </w:tbl>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inorEastAsia" w:hAnsiTheme="minorEastAsia"/>
          <w:sz w:val="24"/>
        </w:rPr>
        <w:t>６　今後のスケジュール（予定）</w:t>
      </w:r>
    </w:p>
    <w:tbl>
      <w:tblPr>
        <w:tblStyle w:val="11"/>
        <w:tblW w:w="7229" w:type="dxa"/>
        <w:tblInd w:w="241" w:type="dxa"/>
        <w:tblLayout w:type="fixed"/>
        <w:tblCellMar>
          <w:left w:w="99" w:type="dxa"/>
          <w:right w:w="99" w:type="dxa"/>
        </w:tblCellMar>
        <w:tblLook w:firstRow="1" w:lastRow="0" w:firstColumn="1" w:lastColumn="0" w:noHBand="0" w:noVBand="1" w:val="04A0"/>
      </w:tblPr>
      <w:tblGrid>
        <w:gridCol w:w="1843"/>
        <w:gridCol w:w="5386"/>
      </w:tblGrid>
      <w:tr>
        <w:trPr>
          <w:trHeight w:val="334" w:hRule="atLeast"/>
        </w:trPr>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１１月</w:t>
            </w:r>
          </w:p>
        </w:tc>
        <w:tc>
          <w:tcPr>
            <w:tcW w:w="53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議会報告（意見募集について）</w:t>
            </w:r>
          </w:p>
        </w:tc>
      </w:tr>
      <w:tr>
        <w:trPr>
          <w:trHeight w:val="334" w:hRule="atLeast"/>
        </w:trPr>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color w:val="000000"/>
                <w:kern w:val="0"/>
                <w:sz w:val="24"/>
              </w:rPr>
            </w:pP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事業者・保護者・区民への周知（意見募集）</w:t>
            </w:r>
          </w:p>
        </w:tc>
      </w:tr>
      <w:tr>
        <w:trPr>
          <w:trHeight w:val="334" w:hRule="atLeast"/>
        </w:trPr>
        <w:tc>
          <w:tcPr>
            <w:tcW w:w="1843" w:type="dxa"/>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１２月</w:t>
            </w: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子ども・子育て会議（区への答申）</w:t>
            </w:r>
          </w:p>
        </w:tc>
      </w:tr>
      <w:tr>
        <w:trPr>
          <w:trHeight w:val="334" w:hRule="atLeast"/>
        </w:trPr>
        <w:tc>
          <w:tcPr>
            <w:tcW w:w="1843" w:type="dxa"/>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color w:val="000000"/>
                <w:kern w:val="0"/>
                <w:sz w:val="24"/>
              </w:rPr>
            </w:pP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議会報告（ガイドライン案について）</w:t>
            </w:r>
          </w:p>
        </w:tc>
      </w:tr>
      <w:tr>
        <w:trPr>
          <w:trHeight w:val="334" w:hRule="atLeast"/>
        </w:trPr>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color w:val="000000"/>
                <w:kern w:val="0"/>
                <w:sz w:val="24"/>
              </w:rPr>
            </w:pP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ガイドライン決定</w:t>
            </w:r>
          </w:p>
        </w:tc>
      </w:tr>
      <w:tr>
        <w:trPr>
          <w:trHeight w:val="334" w:hRule="atLeast"/>
        </w:trPr>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３月</w:t>
            </w: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議会報告（ガイドライン策定について）</w:t>
            </w:r>
          </w:p>
        </w:tc>
      </w:tr>
      <w:tr>
        <w:trPr>
          <w:trHeight w:val="334" w:hRule="atLeast"/>
        </w:trPr>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color w:val="000000"/>
                <w:kern w:val="0"/>
                <w:sz w:val="24"/>
              </w:rPr>
            </w:pPr>
          </w:p>
        </w:tc>
        <w:tc>
          <w:tcPr>
            <w:tcW w:w="53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ガイドライン配付</w:t>
            </w:r>
          </w:p>
        </w:tc>
      </w:tr>
    </w:tbl>
    <w:p>
      <w:pPr>
        <w:pStyle w:val="0"/>
        <w:spacing w:line="360" w:lineRule="exact"/>
        <w:rPr>
          <w:rFonts w:hint="default" w:asciiTheme="minorEastAsia" w:hAnsiTheme="minorEastAsia"/>
          <w:sz w:val="24"/>
        </w:rPr>
      </w:pPr>
    </w:p>
    <w:sectPr>
      <w:footerReference r:id="rId5" w:type="default"/>
      <w:pgSz w:w="11906" w:h="16838"/>
      <w:pgMar w:top="1304" w:right="1304" w:bottom="1304" w:left="1304"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3128066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1391</Characters>
  <Application>JUST Note</Application>
  <Lines>83</Lines>
  <Paragraphs>45</Paragraphs>
  <CharactersWithSpaces>1414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小幡　真二</cp:lastModifiedBy>
  <cp:lastPrinted>2019-09-05T05:18:00Z</cp:lastPrinted>
  <dcterms:created xsi:type="dcterms:W3CDTF">2019-09-05T05:24:00Z</dcterms:created>
  <dcterms:modified xsi:type="dcterms:W3CDTF">2019-11-11T03:02:59Z</dcterms:modified>
  <cp:revision>2</cp:revision>
</cp:coreProperties>
</file>